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A80BB" w14:textId="569BFD3A" w:rsidR="001750DE" w:rsidRPr="00CA3F60" w:rsidRDefault="1A346A7F" w:rsidP="05978FF5">
      <w:pPr>
        <w:spacing w:line="480" w:lineRule="auto"/>
        <w:rPr>
          <w:rFonts w:ascii="Times New Roman" w:eastAsia="Calibri" w:hAnsi="Times New Roman" w:cs="Times New Roman"/>
          <w:color w:val="000000" w:themeColor="text1"/>
          <w:sz w:val="22"/>
          <w:szCs w:val="22"/>
        </w:rPr>
      </w:pPr>
      <w:r w:rsidRPr="00CA3F60">
        <w:rPr>
          <w:rFonts w:ascii="Times New Roman" w:eastAsia="Calibri" w:hAnsi="Times New Roman" w:cs="Times New Roman"/>
          <w:b/>
          <w:bCs/>
          <w:color w:val="000000" w:themeColor="text1"/>
          <w:sz w:val="22"/>
          <w:szCs w:val="22"/>
        </w:rPr>
        <w:t xml:space="preserve">Table </w:t>
      </w:r>
      <w:r w:rsidR="004F7D0F" w:rsidRPr="00CA3F60">
        <w:rPr>
          <w:rFonts w:ascii="Times New Roman" w:eastAsia="Calibri" w:hAnsi="Times New Roman" w:cs="Times New Roman"/>
          <w:b/>
          <w:bCs/>
          <w:color w:val="000000" w:themeColor="text1"/>
          <w:sz w:val="22"/>
          <w:szCs w:val="22"/>
        </w:rPr>
        <w:t>S</w:t>
      </w:r>
      <w:r w:rsidR="00A82C74">
        <w:rPr>
          <w:rFonts w:ascii="Times New Roman" w:eastAsia="Calibri" w:hAnsi="Times New Roman" w:cs="Times New Roman"/>
          <w:b/>
          <w:bCs/>
          <w:color w:val="000000" w:themeColor="text1"/>
          <w:sz w:val="22"/>
          <w:szCs w:val="22"/>
        </w:rPr>
        <w:t>2</w:t>
      </w:r>
    </w:p>
    <w:p w14:paraId="17FCB305" w14:textId="2C728D07" w:rsidR="001750DE" w:rsidRPr="00291E11" w:rsidRDefault="3A265337" w:rsidP="618C2F53">
      <w:pPr>
        <w:spacing w:line="480" w:lineRule="auto"/>
        <w:rPr>
          <w:rFonts w:ascii="Times New Roman" w:eastAsia="Calibri" w:hAnsi="Times New Roman" w:cs="Times New Roman"/>
          <w:i/>
          <w:iCs/>
          <w:color w:val="000000" w:themeColor="text1"/>
          <w:sz w:val="22"/>
          <w:szCs w:val="22"/>
        </w:rPr>
      </w:pPr>
      <w:r w:rsidRPr="00291E11">
        <w:rPr>
          <w:rFonts w:ascii="Times New Roman" w:eastAsia="Calibri" w:hAnsi="Times New Roman" w:cs="Times New Roman"/>
          <w:i/>
          <w:iCs/>
          <w:color w:val="000000" w:themeColor="text1"/>
          <w:sz w:val="22"/>
          <w:szCs w:val="22"/>
        </w:rPr>
        <w:t>Summary of studies not included in the meta-</w:t>
      </w:r>
      <w:r w:rsidR="4BAB3075" w:rsidRPr="00291E11">
        <w:rPr>
          <w:rFonts w:ascii="Times New Roman" w:eastAsia="Calibri" w:hAnsi="Times New Roman" w:cs="Times New Roman"/>
          <w:i/>
          <w:iCs/>
          <w:color w:val="000000" w:themeColor="text1"/>
          <w:sz w:val="22"/>
          <w:szCs w:val="22"/>
        </w:rPr>
        <w:t>analyses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2127"/>
        <w:gridCol w:w="2268"/>
        <w:gridCol w:w="2126"/>
        <w:gridCol w:w="3118"/>
        <w:gridCol w:w="2694"/>
      </w:tblGrid>
      <w:tr w:rsidR="618C2F53" w:rsidRPr="000060DA" w14:paraId="7B0838A6" w14:textId="77777777" w:rsidTr="0098590C">
        <w:trPr>
          <w:trHeight w:val="915"/>
          <w:tblHeader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55356A13" w14:textId="0022B852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Author, (year)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39D406B1" w14:textId="6B9D79FA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Title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2E71F2AF" w14:textId="47583110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Geographical Location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69E198FB" w14:textId="11EF5BDA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Data Source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5CCCF437" w14:textId="093D6BDB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Reason Excluded</w:t>
            </w:r>
            <w:r w:rsidRPr="000060DA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from Meta-Analysis</w:t>
            </w:r>
          </w:p>
        </w:tc>
      </w:tr>
      <w:tr w:rsidR="618C2F53" w:rsidRPr="000060DA" w14:paraId="7CB1D14A" w14:textId="77777777" w:rsidTr="0098590C">
        <w:trPr>
          <w:trHeight w:val="1155"/>
        </w:trPr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A5BC3F9" w14:textId="248C1E2E" w:rsidR="618C2F53" w:rsidRPr="000060DA" w:rsidRDefault="00D17FAC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 xml:space="preserve">Almada et al., </w:t>
            </w:r>
            <w:r w:rsidR="00BF073D"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(</w:t>
            </w: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1991)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61F33B63" w14:textId="0F2A00F6" w:rsidR="618C2F53" w:rsidRPr="000060DA" w:rsidRDefault="618C2F53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Neuroticism and cynicism and risk of death in middle-aged men: the Western Electric Study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4CFBF59B" w14:textId="7E59E2EF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United States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41DFACDC" w14:textId="65A0E065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Western Electric Study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3B995CE3" w14:textId="69F9F25E" w:rsidR="24CD1D33" w:rsidRPr="000060DA" w:rsidRDefault="00F570AD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Study with greater follow-up period included</w:t>
            </w:r>
          </w:p>
        </w:tc>
      </w:tr>
      <w:tr w:rsidR="618C2F53" w:rsidRPr="000060DA" w14:paraId="2B107D59" w14:textId="77777777" w:rsidTr="0098590C">
        <w:trPr>
          <w:trHeight w:val="1440"/>
        </w:trPr>
        <w:tc>
          <w:tcPr>
            <w:tcW w:w="212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33646ED8" w14:textId="6432F7D6" w:rsidR="618C2F53" w:rsidRPr="000060DA" w:rsidRDefault="00D17FAC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 xml:space="preserve">Batty et al., </w:t>
            </w:r>
            <w:r w:rsidR="00BF073D"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(</w:t>
            </w: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2016)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294BDCE2" w14:textId="6ADEC086" w:rsidR="618C2F53" w:rsidRPr="000060DA" w:rsidRDefault="618C2F53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Psychological distress, neuroticism, and cause-specific mortality: early prospective evidence from UK Biobank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45790EC0" w14:textId="422491E6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United Kingdom</w:t>
            </w:r>
          </w:p>
        </w:tc>
        <w:tc>
          <w:tcPr>
            <w:tcW w:w="311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19A6974" w14:textId="156EF7C4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UK Biobank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3CE5732" w14:textId="6D154495" w:rsidR="70377332" w:rsidRPr="000060DA" w:rsidRDefault="70377332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Wrong research design</w:t>
            </w:r>
          </w:p>
        </w:tc>
      </w:tr>
      <w:tr w:rsidR="618C2F53" w:rsidRPr="000060DA" w14:paraId="155378D9" w14:textId="77777777" w:rsidTr="0098590C">
        <w:trPr>
          <w:trHeight w:val="2595"/>
        </w:trPr>
        <w:tc>
          <w:tcPr>
            <w:tcW w:w="212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4C266E21" w14:textId="3386781B" w:rsidR="618C2F53" w:rsidRPr="000060DA" w:rsidRDefault="618C2F53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Graham et al., (2017)</w:t>
            </w:r>
            <w:r w:rsidR="00F15B4F" w:rsidRPr="00F15B4F">
              <w:rPr>
                <w:rFonts w:ascii="Times New Roman" w:eastAsia="Calibri" w:hAnsi="Times New Roman" w:cs="Times New Roman"/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6A8860F" w14:textId="67D66BC4" w:rsidR="618C2F53" w:rsidRPr="000060DA" w:rsidRDefault="618C2F53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Personality predicts mortality risk: An integrative data analysis of 15 international longitudinal studies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461BFCCD" w14:textId="08703C6E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United States (k = 5)</w:t>
            </w:r>
          </w:p>
        </w:tc>
        <w:tc>
          <w:tcPr>
            <w:tcW w:w="311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51FB8453" w14:textId="126D4587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Health &amp; Retirement Study (HRS), Midlife in the U.S. Study (MIDUS), Veteran Affairs Normative Aging Study (NAS), Wisconsin Longitudinal </w:t>
            </w:r>
            <w:r w:rsidR="1AB1B8AA"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Study</w:t>
            </w: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Grads (WLS-G), Wisconsin Longitudinal Study Sibs (WLS-S).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84900B3" w14:textId="5389D641" w:rsidR="24CD1D33" w:rsidRPr="000060DA" w:rsidRDefault="00F570AD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Study with greater follow-up period included</w:t>
            </w:r>
          </w:p>
        </w:tc>
      </w:tr>
      <w:tr w:rsidR="618C2F53" w:rsidRPr="000060DA" w14:paraId="757719A7" w14:textId="77777777" w:rsidTr="0098590C">
        <w:trPr>
          <w:trHeight w:val="870"/>
        </w:trPr>
        <w:tc>
          <w:tcPr>
            <w:tcW w:w="212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3A6CA449" w14:textId="3B0E8FCB" w:rsidR="618C2F53" w:rsidRPr="000060DA" w:rsidRDefault="00D17FAC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 xml:space="preserve">Hill et al., </w:t>
            </w:r>
            <w:r w:rsidR="00BF073D"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(</w:t>
            </w: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2011)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046D2D24" w14:textId="2E686672" w:rsidR="618C2F53" w:rsidRPr="000060DA" w:rsidRDefault="618C2F53" w:rsidP="00745287">
            <w:pPr>
              <w:spacing w:after="0" w:line="276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Conscientiousness and longevity: an examination of </w:t>
            </w:r>
            <w:bookmarkStart w:id="0" w:name="_Int_41Nj3MRT"/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possible mediators</w:t>
            </w:r>
            <w:bookmarkEnd w:id="0"/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6DCA4F9F" w14:textId="19912355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United States</w:t>
            </w:r>
          </w:p>
        </w:tc>
        <w:tc>
          <w:tcPr>
            <w:tcW w:w="311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5E3C3798" w14:textId="5AB16550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Health and Retirement Survey (1986)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5572D420" w14:textId="525B64A5" w:rsidR="24CD1D33" w:rsidRPr="000060DA" w:rsidRDefault="00F570AD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Study with greater follow-up period included</w:t>
            </w:r>
          </w:p>
        </w:tc>
      </w:tr>
      <w:tr w:rsidR="618C2F53" w:rsidRPr="000060DA" w14:paraId="354A55AB" w14:textId="77777777" w:rsidTr="0098590C">
        <w:trPr>
          <w:trHeight w:val="1725"/>
        </w:trPr>
        <w:tc>
          <w:tcPr>
            <w:tcW w:w="212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B6EB2E5" w14:textId="33239ACC" w:rsidR="618C2F53" w:rsidRPr="000060DA" w:rsidRDefault="00D17FAC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lastRenderedPageBreak/>
              <w:t xml:space="preserve">Iwasa et al., </w:t>
            </w:r>
            <w:r w:rsidR="00BF073D"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(</w:t>
            </w: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2008)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5616735" w14:textId="1A25D57A" w:rsidR="618C2F53" w:rsidRPr="000060DA" w:rsidRDefault="618C2F53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Personality and all-cause mortality among older adults dwelling in a Japanese community: a five-year population-based prospective cohort study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02A65CC3" w14:textId="6336D5AE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4D3B96BE" w14:textId="5854CA96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Longitudinal Interdisciplinary Study on Aging (Tokyo Metropolitan Institute of Gerontology)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2F56D92" w14:textId="4D71B036" w:rsidR="24CD1D33" w:rsidRPr="000060DA" w:rsidRDefault="00F570AD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Study with greater follow-up period included</w:t>
            </w:r>
          </w:p>
        </w:tc>
      </w:tr>
      <w:tr w:rsidR="618C2F53" w:rsidRPr="000060DA" w14:paraId="2AA3B1D5" w14:textId="77777777" w:rsidTr="0098590C">
        <w:trPr>
          <w:trHeight w:val="1440"/>
        </w:trPr>
        <w:tc>
          <w:tcPr>
            <w:tcW w:w="212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4AB8BDA1" w14:textId="4045B30C" w:rsidR="618C2F53" w:rsidRPr="000060DA" w:rsidRDefault="00D17FAC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 xml:space="preserve">Johansson &amp; Thorvaldsson, </w:t>
            </w:r>
            <w:r w:rsidR="00BF073D"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(</w:t>
            </w: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2021)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0447902" w14:textId="5574A45B" w:rsidR="618C2F53" w:rsidRPr="000060DA" w:rsidRDefault="618C2F53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What Matters and What Matters Most for Survival After age 80? A Multidisciplinary Exploration Based on Twin Data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6DB2DC08" w14:textId="04BF9653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Sweden</w:t>
            </w:r>
          </w:p>
        </w:tc>
        <w:tc>
          <w:tcPr>
            <w:tcW w:w="311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1B3A2FD" w14:textId="2639AF3A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Octo twin study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08363371" w14:textId="0FA60725" w:rsidR="70377332" w:rsidRPr="000060DA" w:rsidRDefault="70377332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Wrong research design</w:t>
            </w:r>
          </w:p>
        </w:tc>
      </w:tr>
      <w:tr w:rsidR="618C2F53" w:rsidRPr="000060DA" w14:paraId="7DA4C4C4" w14:textId="77777777" w:rsidTr="0098590C">
        <w:trPr>
          <w:trHeight w:val="1440"/>
        </w:trPr>
        <w:tc>
          <w:tcPr>
            <w:tcW w:w="212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B7AE90C" w14:textId="1330A31E" w:rsidR="618C2F53" w:rsidRPr="000060DA" w:rsidRDefault="00D17FAC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 xml:space="preserve">Jokela et al., </w:t>
            </w:r>
            <w:r w:rsidR="00BF073D"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(</w:t>
            </w: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2013)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479CD8A2" w14:textId="6E9452FA" w:rsidR="618C2F53" w:rsidRPr="000060DA" w:rsidRDefault="618C2F53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Personality and all-cause mortality: individual-participant meta-analysis of 3,947 deaths in 76,150 adults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2DEA4B13" w14:textId="26F991B0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Australia (k = 1), United Kingdom (k = 1), </w:t>
            </w:r>
            <w:r w:rsidR="50FACFE9"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USA (United States)</w:t>
            </w: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(k = 4), Germany (k = 1)</w:t>
            </w:r>
          </w:p>
        </w:tc>
        <w:tc>
          <w:tcPr>
            <w:tcW w:w="311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4A641C33" w14:textId="0DA1601D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Household, Income and Labour Dynamics in Australia (HILDA) Survey, BHPS, MIDUS, </w:t>
            </w:r>
            <w:r w:rsidR="448B83E1"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WLSS (Wisconsin Longitudinal Study Sibs)</w:t>
            </w: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, </w:t>
            </w:r>
            <w:r w:rsidR="0707E650"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WLSG (Wisconsin Longitudinal </w:t>
            </w:r>
            <w:r w:rsidR="33B3C3BA"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Study</w:t>
            </w:r>
            <w:r w:rsidR="0707E650"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Grads)</w:t>
            </w: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, GSOEP, HRS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C0B2C20" w14:textId="1B9BECB4" w:rsidR="24CD1D33" w:rsidRPr="000060DA" w:rsidRDefault="00F570AD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Study with greater follow-up period included</w:t>
            </w:r>
          </w:p>
        </w:tc>
      </w:tr>
      <w:tr w:rsidR="618C2F53" w:rsidRPr="000060DA" w14:paraId="1D714F7F" w14:textId="77777777" w:rsidTr="0098590C">
        <w:trPr>
          <w:trHeight w:val="1155"/>
        </w:trPr>
        <w:tc>
          <w:tcPr>
            <w:tcW w:w="212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472E95F7" w14:textId="175B365F" w:rsidR="618C2F53" w:rsidRPr="000060DA" w:rsidRDefault="00D17FAC" w:rsidP="00745287">
            <w:pPr>
              <w:spacing w:after="0"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 xml:space="preserve">Korten et al., </w:t>
            </w:r>
            <w:r w:rsidR="00BF073D"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(</w:t>
            </w: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1999)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AB40A83" w14:textId="1846B568" w:rsidR="618C2F53" w:rsidRPr="000060DA" w:rsidRDefault="618C2F53" w:rsidP="00745287">
            <w:pPr>
              <w:spacing w:after="0"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Health, cognitive, and psychosocial factors as predictors of mortality in an elderly community sample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48599F2D" w14:textId="5AFA11B1" w:rsidR="618C2F53" w:rsidRPr="000060DA" w:rsidRDefault="618C2F53" w:rsidP="0074528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Australia</w:t>
            </w:r>
          </w:p>
        </w:tc>
        <w:tc>
          <w:tcPr>
            <w:tcW w:w="311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6C9C7556" w14:textId="0A3C1635" w:rsidR="618C2F53" w:rsidRPr="000060DA" w:rsidRDefault="618C2F53" w:rsidP="0074528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primary study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98B93DD" w14:textId="06EDCEC9" w:rsidR="70377332" w:rsidRPr="000060DA" w:rsidRDefault="70377332" w:rsidP="0074528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Wrong research design</w:t>
            </w:r>
          </w:p>
        </w:tc>
      </w:tr>
      <w:tr w:rsidR="618C2F53" w:rsidRPr="000060DA" w14:paraId="2A750848" w14:textId="77777777" w:rsidTr="0098590C">
        <w:trPr>
          <w:trHeight w:val="867"/>
        </w:trPr>
        <w:tc>
          <w:tcPr>
            <w:tcW w:w="212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6F8FA1EB" w14:textId="6F5D81A0" w:rsidR="618C2F53" w:rsidRPr="000060DA" w:rsidRDefault="00D17FAC" w:rsidP="00745287">
            <w:pPr>
              <w:spacing w:after="0"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 xml:space="preserve">Maier &amp; Smith, </w:t>
            </w:r>
            <w:r w:rsidR="00BF073D"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(</w:t>
            </w: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1999)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86E3C05" w14:textId="2A1A9EB2" w:rsidR="618C2F53" w:rsidRPr="000060DA" w:rsidRDefault="618C2F53" w:rsidP="00745287">
            <w:pPr>
              <w:spacing w:after="0"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Psychological predictors of mortality in old age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29044DE9" w14:textId="2349DCC0" w:rsidR="618C2F53" w:rsidRPr="000060DA" w:rsidRDefault="618C2F53" w:rsidP="0074528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Germany</w:t>
            </w:r>
          </w:p>
        </w:tc>
        <w:tc>
          <w:tcPr>
            <w:tcW w:w="311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3598946F" w14:textId="46EB7499" w:rsidR="618C2F53" w:rsidRPr="000060DA" w:rsidRDefault="618C2F53" w:rsidP="0074528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Berlin Aging Study (BASE)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3ED6593" w14:textId="11A35DB9" w:rsidR="24CD1D33" w:rsidRPr="000060DA" w:rsidRDefault="00F570AD" w:rsidP="0074528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Study with greater follow-up period included</w:t>
            </w:r>
          </w:p>
        </w:tc>
      </w:tr>
      <w:tr w:rsidR="618C2F53" w:rsidRPr="000060DA" w14:paraId="5BB8B61C" w14:textId="77777777" w:rsidTr="0098590C">
        <w:trPr>
          <w:trHeight w:val="870"/>
        </w:trPr>
        <w:tc>
          <w:tcPr>
            <w:tcW w:w="212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5BD50F5E" w14:textId="2A5D1982" w:rsidR="618C2F53" w:rsidRPr="000060DA" w:rsidRDefault="00D17FAC" w:rsidP="00745287">
            <w:pPr>
              <w:spacing w:after="0"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lastRenderedPageBreak/>
              <w:t xml:space="preserve">Mroczek &amp; Spiro, </w:t>
            </w:r>
            <w:r w:rsidR="00BF073D"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(</w:t>
            </w: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2007)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299AA44A" w14:textId="4FE07E46" w:rsidR="618C2F53" w:rsidRPr="000060DA" w:rsidRDefault="618C2F53" w:rsidP="00745287">
            <w:pPr>
              <w:spacing w:after="0"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Personality </w:t>
            </w:r>
            <w:bookmarkStart w:id="1" w:name="_Int_37pIDqvQ"/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change</w:t>
            </w:r>
            <w:bookmarkEnd w:id="1"/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influences mortality in older men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0A3F97CF" w14:textId="6B350160" w:rsidR="618C2F53" w:rsidRPr="000060DA" w:rsidRDefault="618C2F53" w:rsidP="0074528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United States</w:t>
            </w:r>
          </w:p>
        </w:tc>
        <w:tc>
          <w:tcPr>
            <w:tcW w:w="311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3BDF48BB" w14:textId="6AA466E3" w:rsidR="6AB9F2C2" w:rsidRPr="000060DA" w:rsidRDefault="6AB9F2C2" w:rsidP="0074528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VA (Veterans Affairs)</w:t>
            </w:r>
            <w:r w:rsidR="618C2F53"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Normative Aging Study (NAS)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2D03E4F" w14:textId="5B60DD3C" w:rsidR="24CD1D33" w:rsidRPr="000060DA" w:rsidRDefault="00F570AD" w:rsidP="0074528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Study with greater follow-up period included</w:t>
            </w:r>
          </w:p>
        </w:tc>
      </w:tr>
      <w:tr w:rsidR="618C2F53" w:rsidRPr="000060DA" w14:paraId="0BA06E60" w14:textId="77777777" w:rsidTr="0098590C">
        <w:trPr>
          <w:trHeight w:val="1155"/>
        </w:trPr>
        <w:tc>
          <w:tcPr>
            <w:tcW w:w="212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2F692CC5" w14:textId="2DCF665A" w:rsidR="618C2F53" w:rsidRPr="000060DA" w:rsidRDefault="009743E1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27506">
              <w:rPr>
                <w:rFonts w:ascii="Times New Roman" w:hAnsi="Times New Roman" w:cs="Times New Roman"/>
                <w:noProof/>
              </w:rPr>
              <w:t>O'Súilleabháin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="00D17FAC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et al., 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(</w:t>
            </w:r>
            <w:r w:rsidR="00D17FAC">
              <w:rPr>
                <w:rFonts w:ascii="Times New Roman" w:hAnsi="Times New Roman" w:cs="Times New Roman"/>
                <w:noProof/>
                <w:sz w:val="22"/>
                <w:szCs w:val="22"/>
              </w:rPr>
              <w:t>2021)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7DD9BFD" w14:textId="5F8FF3C7" w:rsidR="618C2F53" w:rsidRPr="000060DA" w:rsidRDefault="618C2F53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Personality pathways to mortality: Interleukin-6 links conscientiousness to mortality risk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31673B67" w14:textId="1CD065F6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United States</w:t>
            </w:r>
          </w:p>
        </w:tc>
        <w:tc>
          <w:tcPr>
            <w:tcW w:w="311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3477AAD7" w14:textId="594B8DC7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MIDUS 2004-2006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A9DF6FC" w14:textId="56237427" w:rsidR="24CD1D33" w:rsidRPr="000060DA" w:rsidRDefault="00F570AD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Study with greater follow-up period included</w:t>
            </w:r>
          </w:p>
        </w:tc>
      </w:tr>
      <w:tr w:rsidR="618C2F53" w:rsidRPr="000060DA" w14:paraId="4FCB7040" w14:textId="77777777" w:rsidTr="0098590C">
        <w:trPr>
          <w:trHeight w:val="870"/>
        </w:trPr>
        <w:tc>
          <w:tcPr>
            <w:tcW w:w="212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5BFADE7" w14:textId="0D5964E9" w:rsidR="618C2F53" w:rsidRPr="000060DA" w:rsidRDefault="00D17FAC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 xml:space="preserve">Ploubidis &amp; Grundy, </w:t>
            </w:r>
            <w:r w:rsidR="009743E1"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(</w:t>
            </w: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2009)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2FEC68CD" w14:textId="66C9D090" w:rsidR="618C2F53" w:rsidRPr="000060DA" w:rsidRDefault="618C2F53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Personality and </w:t>
            </w:r>
            <w:r w:rsidR="0CB69BF2"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all-cause</w:t>
            </w: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mortality: Evidence for indirect links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6C2BD297" w14:textId="1666573A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United Kingdom</w:t>
            </w:r>
          </w:p>
        </w:tc>
        <w:tc>
          <w:tcPr>
            <w:tcW w:w="311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6EA1BAE4" w14:textId="73EA6AEF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UKHLS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33F10494" w14:textId="1228379E" w:rsidR="24CD1D33" w:rsidRPr="000060DA" w:rsidRDefault="00F570AD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Study with greater follow-up period included</w:t>
            </w:r>
          </w:p>
        </w:tc>
      </w:tr>
      <w:tr w:rsidR="618C2F53" w:rsidRPr="000060DA" w14:paraId="5CEFBFFB" w14:textId="77777777" w:rsidTr="0098590C">
        <w:trPr>
          <w:trHeight w:val="870"/>
        </w:trPr>
        <w:tc>
          <w:tcPr>
            <w:tcW w:w="212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21E07E5C" w14:textId="223FE7A9" w:rsidR="618C2F53" w:rsidRPr="000060DA" w:rsidRDefault="00D17FAC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 xml:space="preserve">Sharp et al., </w:t>
            </w:r>
            <w:r w:rsidR="009743E1"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(</w:t>
            </w: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2019)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6E1AE733" w14:textId="3009ED1F" w:rsidR="618C2F53" w:rsidRPr="000060DA" w:rsidRDefault="618C2F53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Openness declines in advance of death in late adulthood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865CAEC" w14:textId="1BBA0C40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Sweden</w:t>
            </w:r>
          </w:p>
        </w:tc>
        <w:tc>
          <w:tcPr>
            <w:tcW w:w="311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44DD0D9A" w14:textId="54D7E3DA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Swedish Adoption/Twin Study of Aging (SATSA)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A200ED8" w14:textId="1A3E3866" w:rsidR="24CD1D33" w:rsidRPr="000060DA" w:rsidRDefault="00F570AD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Study with greater follow-up period included</w:t>
            </w:r>
          </w:p>
        </w:tc>
      </w:tr>
      <w:tr w:rsidR="618C2F53" w:rsidRPr="000060DA" w14:paraId="575AEFCA" w14:textId="77777777" w:rsidTr="0098590C">
        <w:trPr>
          <w:trHeight w:val="1440"/>
        </w:trPr>
        <w:tc>
          <w:tcPr>
            <w:tcW w:w="212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02F0A5E2" w14:textId="0AE6E3AA" w:rsidR="618C2F53" w:rsidRPr="000060DA" w:rsidRDefault="00D17FAC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 xml:space="preserve">Shipley et al., </w:t>
            </w:r>
            <w:r w:rsidR="009743E1"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(</w:t>
            </w: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2007)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ECE95E0" w14:textId="4CD5B98D" w:rsidR="618C2F53" w:rsidRPr="000060DA" w:rsidRDefault="618C2F53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Neuroticism, extraversion, and mortality in the UK Health and Lifestyle Survey: a 21-year prospective cohort study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A1D5DCA" w14:textId="42749113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United Kingdom</w:t>
            </w:r>
          </w:p>
        </w:tc>
        <w:tc>
          <w:tcPr>
            <w:tcW w:w="311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50B4DBCB" w14:textId="53B3C0A6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Health and lifestyle survey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C0B9B1D" w14:textId="6DD757B9" w:rsidR="24CD1D33" w:rsidRPr="000060DA" w:rsidRDefault="00F570AD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Study with greater follow-up period included</w:t>
            </w:r>
          </w:p>
        </w:tc>
      </w:tr>
      <w:tr w:rsidR="618C2F53" w:rsidRPr="000060DA" w14:paraId="762B21FB" w14:textId="77777777" w:rsidTr="0098590C">
        <w:trPr>
          <w:trHeight w:val="570"/>
        </w:trPr>
        <w:tc>
          <w:tcPr>
            <w:tcW w:w="212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4D8146FD" w14:textId="06D74893" w:rsidR="618C2F53" w:rsidRPr="000060DA" w:rsidRDefault="00D17FAC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 xml:space="preserve">Spears et al., </w:t>
            </w:r>
            <w:r w:rsidR="009743E1"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(</w:t>
            </w: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2019)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5A4E4EA3" w14:textId="0A385245" w:rsidR="618C2F53" w:rsidRPr="000060DA" w:rsidRDefault="618C2F53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Sleep: A pathway linking personality to mortality risk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2542BC32" w14:textId="0A8B6378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United States</w:t>
            </w:r>
          </w:p>
        </w:tc>
        <w:tc>
          <w:tcPr>
            <w:tcW w:w="311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0EC1674A" w14:textId="768D43E9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MIDUS 1 &amp; MIDUS 2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D05789D" w14:textId="23F1913F" w:rsidR="24CD1D33" w:rsidRPr="000060DA" w:rsidRDefault="00F570AD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Study with greater follow-up period included</w:t>
            </w:r>
          </w:p>
        </w:tc>
      </w:tr>
      <w:tr w:rsidR="618C2F53" w:rsidRPr="000060DA" w14:paraId="3A81873D" w14:textId="77777777" w:rsidTr="0098590C">
        <w:trPr>
          <w:trHeight w:val="870"/>
        </w:trPr>
        <w:tc>
          <w:tcPr>
            <w:tcW w:w="212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088952DC" w14:textId="238C7AF3" w:rsidR="618C2F53" w:rsidRPr="000060DA" w:rsidRDefault="00D17FAC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 xml:space="preserve">Turiano et al., </w:t>
            </w:r>
            <w:r w:rsidR="009743E1"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(</w:t>
            </w: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2015)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51BC997C" w14:textId="48495CFF" w:rsidR="618C2F53" w:rsidRPr="000060DA" w:rsidRDefault="618C2F53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Personality and the leading behavioral contributors of mortality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5E2FDA20" w14:textId="0A22B408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United States</w:t>
            </w:r>
          </w:p>
        </w:tc>
        <w:tc>
          <w:tcPr>
            <w:tcW w:w="311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06B7885A" w14:textId="3268C398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MIDUS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302F0C5B" w14:textId="46890439" w:rsidR="24CD1D33" w:rsidRPr="000060DA" w:rsidRDefault="00F570AD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Study with greater follow-up period included</w:t>
            </w:r>
          </w:p>
        </w:tc>
      </w:tr>
      <w:tr w:rsidR="618C2F53" w:rsidRPr="000060DA" w14:paraId="7C9D5F28" w14:textId="77777777" w:rsidTr="0098590C">
        <w:trPr>
          <w:trHeight w:val="285"/>
        </w:trPr>
        <w:tc>
          <w:tcPr>
            <w:tcW w:w="212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E28DE67" w14:textId="604D9577" w:rsidR="618C2F53" w:rsidRPr="000060DA" w:rsidRDefault="618C2F53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Turiano et al., (2020)</w:t>
            </w:r>
            <w:r w:rsidR="00AC770C" w:rsidRPr="00FA51CD">
              <w:rPr>
                <w:rFonts w:ascii="Times New Roman" w:eastAsia="Calibri" w:hAnsi="Times New Roman" w:cs="Times New Roman"/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5595B9EE" w14:textId="23F82F10" w:rsidR="618C2F53" w:rsidRPr="000060DA" w:rsidRDefault="618C2F53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8E0D67" w:rsidRPr="008E0D6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Is Healthy Neuroticism Associated with Longevity? A </w:t>
            </w:r>
            <w:r w:rsidR="008E0D67" w:rsidRPr="008E0D67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Coordinated Integrative Data Analysis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041C33F7" w14:textId="4C1D72E2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United States</w:t>
            </w:r>
          </w:p>
        </w:tc>
        <w:tc>
          <w:tcPr>
            <w:tcW w:w="311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6F1DD09F" w14:textId="111F23F1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MAP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386CFB4" w14:textId="26A02082" w:rsidR="24CD1D33" w:rsidRPr="000060DA" w:rsidRDefault="00F570AD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Study with greater follow-up period included</w:t>
            </w:r>
          </w:p>
        </w:tc>
      </w:tr>
      <w:tr w:rsidR="618C2F53" w:rsidRPr="000060DA" w14:paraId="7E618970" w14:textId="77777777" w:rsidTr="0098590C">
        <w:trPr>
          <w:trHeight w:val="870"/>
        </w:trPr>
        <w:tc>
          <w:tcPr>
            <w:tcW w:w="212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53115B9C" w14:textId="339AC13A" w:rsidR="618C2F53" w:rsidRPr="000060DA" w:rsidRDefault="00D17FAC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 xml:space="preserve">Turiano, Spiro, et al., </w:t>
            </w:r>
            <w:r w:rsidR="00E74678"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(</w:t>
            </w: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2012)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9ACA3EB" w14:textId="4EF51AF7" w:rsidR="618C2F53" w:rsidRPr="000060DA" w:rsidRDefault="618C2F53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Openness to experience and mortality in men: analysis of trait and facets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6E86AB15" w14:textId="18BA40EE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United States</w:t>
            </w:r>
          </w:p>
        </w:tc>
        <w:tc>
          <w:tcPr>
            <w:tcW w:w="311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64E8703F" w14:textId="11AF5C22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The Veterans affairs Normative Aging Study (NAS)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D0F748D" w14:textId="29C04D26" w:rsidR="24CD1D33" w:rsidRPr="000060DA" w:rsidRDefault="00F570AD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Study with greater follow-up period included</w:t>
            </w:r>
          </w:p>
        </w:tc>
      </w:tr>
      <w:tr w:rsidR="618C2F53" w:rsidRPr="000060DA" w14:paraId="4BEE6692" w14:textId="77777777" w:rsidTr="0098590C">
        <w:trPr>
          <w:trHeight w:val="1440"/>
        </w:trPr>
        <w:tc>
          <w:tcPr>
            <w:tcW w:w="212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8C197E4" w14:textId="6791B1EB" w:rsidR="618C2F53" w:rsidRPr="000060DA" w:rsidRDefault="00D17FAC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 xml:space="preserve">Turiano, Hill, et al., </w:t>
            </w:r>
            <w:r w:rsidR="00E74678"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(</w:t>
            </w: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2012)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79A1DC5" w14:textId="713E15DF" w:rsidR="618C2F53" w:rsidRPr="000060DA" w:rsidRDefault="618C2F53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Smoking mediates the effect of conscientiousness on mortality: The Veterans Affairs Normative Aging Study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737EBE7" w14:textId="49177D4F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United States</w:t>
            </w:r>
          </w:p>
        </w:tc>
        <w:tc>
          <w:tcPr>
            <w:tcW w:w="311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6E62B2D" w14:textId="1A1DEE68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The Veterans Affairs Normative Aging Study (NAS)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33F6D355" w14:textId="62292457" w:rsidR="24CD1D33" w:rsidRPr="000060DA" w:rsidRDefault="00F570AD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Study with greater follow-up period included</w:t>
            </w:r>
          </w:p>
        </w:tc>
      </w:tr>
      <w:tr w:rsidR="618C2F53" w:rsidRPr="000060DA" w14:paraId="536517CE" w14:textId="77777777" w:rsidTr="0098590C">
        <w:trPr>
          <w:trHeight w:val="1155"/>
        </w:trPr>
        <w:tc>
          <w:tcPr>
            <w:tcW w:w="212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3F049AF" w14:textId="12B6DA87" w:rsidR="618C2F53" w:rsidRPr="000060DA" w:rsidRDefault="00D17FAC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 xml:space="preserve">Weiss et al., </w:t>
            </w:r>
            <w:r w:rsidR="00E74678"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(</w:t>
            </w: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2009)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D14C335" w14:textId="6C4B9616" w:rsidR="618C2F53" w:rsidRPr="000060DA" w:rsidRDefault="618C2F53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Emotionally stable, intelligent men live longer: the Vietnam Experience Study cohort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016A9B93" w14:textId="4B0969B6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United States</w:t>
            </w:r>
          </w:p>
        </w:tc>
        <w:tc>
          <w:tcPr>
            <w:tcW w:w="311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387554BE" w14:textId="7E700E59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The </w:t>
            </w:r>
            <w:r w:rsidR="2CBB8361"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Vietnam</w:t>
            </w: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experience study cohort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D3DEB29" w14:textId="6B6FB5AB" w:rsidR="24CD1D33" w:rsidRPr="000060DA" w:rsidRDefault="00F570AD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Study with greater follow-up period included</w:t>
            </w:r>
          </w:p>
        </w:tc>
      </w:tr>
      <w:tr w:rsidR="618C2F53" w:rsidRPr="000060DA" w14:paraId="1965AF04" w14:textId="77777777" w:rsidTr="0098590C">
        <w:trPr>
          <w:trHeight w:val="1440"/>
        </w:trPr>
        <w:tc>
          <w:tcPr>
            <w:tcW w:w="212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9CB6440" w14:textId="78335A89" w:rsidR="618C2F53" w:rsidRPr="000060DA" w:rsidRDefault="00D17FAC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 xml:space="preserve">Weiss &amp; Costa, </w:t>
            </w:r>
            <w:r w:rsidR="00E74678"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(</w:t>
            </w: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2005)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5D57E2CE" w14:textId="0950060F" w:rsidR="618C2F53" w:rsidRPr="000060DA" w:rsidRDefault="618C2F53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Domain and facet personality predictors of all-cause mortality among Medicare patients aged 65 to 100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4379C78B" w14:textId="7F5DF974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United States</w:t>
            </w:r>
          </w:p>
        </w:tc>
        <w:tc>
          <w:tcPr>
            <w:tcW w:w="3118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2E0B2956" w14:textId="03788A4A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Medicare primary and consumer directed care demonstration, an </w:t>
            </w:r>
            <w:bookmarkStart w:id="2" w:name="_Int_585qpUmz"/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RCT</w:t>
            </w:r>
            <w:bookmarkEnd w:id="2"/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of primary and consumer directed care</w:t>
            </w:r>
          </w:p>
        </w:tc>
        <w:tc>
          <w:tcPr>
            <w:tcW w:w="2694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593735CD" w14:textId="087C0A03" w:rsidR="70377332" w:rsidRPr="000060DA" w:rsidRDefault="70377332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Wrong research design</w:t>
            </w:r>
          </w:p>
        </w:tc>
      </w:tr>
      <w:tr w:rsidR="618C2F53" w:rsidRPr="000060DA" w14:paraId="266FAAD9" w14:textId="77777777" w:rsidTr="0098590C">
        <w:trPr>
          <w:trHeight w:val="57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02B291B" w14:textId="2EB80B7E" w:rsidR="618C2F53" w:rsidRPr="000060DA" w:rsidRDefault="00D17FAC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 xml:space="preserve">Wilson et al., </w:t>
            </w:r>
            <w:r w:rsidR="00E74678"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(</w:t>
            </w:r>
            <w:r>
              <w:rPr>
                <w:rFonts w:ascii="Times New Roman" w:eastAsia="Calibri" w:hAnsi="Times New Roman" w:cs="Times New Roman"/>
                <w:noProof/>
                <w:sz w:val="22"/>
                <w:szCs w:val="22"/>
              </w:rPr>
              <w:t>2004)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081499C2" w14:textId="1562326D" w:rsidR="618C2F53" w:rsidRPr="000060DA" w:rsidRDefault="618C2F53" w:rsidP="00745287">
            <w:pPr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Personality and mortality in old age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400BC8DD" w14:textId="681B06FF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United States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0B7519C7" w14:textId="1F8B0DF4" w:rsidR="618C2F53" w:rsidRPr="000060DA" w:rsidRDefault="618C2F53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Religious Orders Study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AE2F030" w14:textId="0E074F37" w:rsidR="24CD1D33" w:rsidRPr="000060DA" w:rsidRDefault="00F570AD" w:rsidP="0074528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0DA">
              <w:rPr>
                <w:rFonts w:ascii="Times New Roman" w:eastAsia="Calibri" w:hAnsi="Times New Roman" w:cs="Times New Roman"/>
                <w:sz w:val="22"/>
                <w:szCs w:val="22"/>
              </w:rPr>
              <w:t>Study with greater follow-up period included</w:t>
            </w:r>
          </w:p>
        </w:tc>
      </w:tr>
    </w:tbl>
    <w:p w14:paraId="4F49B3FB" w14:textId="6E1A546D" w:rsidR="00766A94" w:rsidRDefault="76BB6693" w:rsidP="618C2F53">
      <w:pPr>
        <w:rPr>
          <w:rFonts w:ascii="Calibri" w:eastAsia="Calibri" w:hAnsi="Calibri" w:cs="Calibri"/>
          <w:sz w:val="22"/>
          <w:szCs w:val="22"/>
        </w:rPr>
      </w:pPr>
      <w:r w:rsidRPr="001D1F9F">
        <w:rPr>
          <w:rFonts w:ascii="Times New Roman" w:eastAsia="Calibri" w:hAnsi="Times New Roman" w:cs="Times New Roman"/>
          <w:i/>
          <w:iCs/>
          <w:sz w:val="22"/>
          <w:szCs w:val="22"/>
        </w:rPr>
        <w:t>Note</w:t>
      </w:r>
      <w:r w:rsidRPr="00CA3F60">
        <w:rPr>
          <w:rFonts w:ascii="Times New Roman" w:eastAsia="Calibri" w:hAnsi="Times New Roman" w:cs="Times New Roman"/>
          <w:sz w:val="22"/>
          <w:szCs w:val="22"/>
        </w:rPr>
        <w:t xml:space="preserve">: </w:t>
      </w:r>
      <w:proofErr w:type="gramStart"/>
      <w:r w:rsidR="00FA51CD" w:rsidRPr="00FA51CD">
        <w:rPr>
          <w:rFonts w:ascii="Times New Roman" w:eastAsia="Calibri" w:hAnsi="Times New Roman" w:cs="Times New Roman"/>
          <w:sz w:val="22"/>
          <w:szCs w:val="22"/>
          <w:vertAlign w:val="superscript"/>
        </w:rPr>
        <w:t>a</w:t>
      </w:r>
      <w:proofErr w:type="gramEnd"/>
      <w:r w:rsidR="00FA51CD" w:rsidRPr="00CA3F60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CA3F60">
        <w:rPr>
          <w:rFonts w:ascii="Times New Roman" w:eastAsia="Calibri" w:hAnsi="Times New Roman" w:cs="Times New Roman"/>
          <w:sz w:val="22"/>
          <w:szCs w:val="22"/>
        </w:rPr>
        <w:t>Graham et al., (2017)</w:t>
      </w:r>
      <w:r w:rsidR="60CA74A6" w:rsidRPr="00CA3F60">
        <w:rPr>
          <w:rFonts w:ascii="Times New Roman" w:eastAsia="Calibri" w:hAnsi="Times New Roman" w:cs="Times New Roman"/>
          <w:sz w:val="22"/>
          <w:szCs w:val="22"/>
        </w:rPr>
        <w:t xml:space="preserve">, and </w:t>
      </w:r>
      <w:r w:rsidR="00D424C5">
        <w:rPr>
          <w:rFonts w:ascii="Times New Roman" w:eastAsia="Calibri" w:hAnsi="Times New Roman" w:cs="Times New Roman"/>
          <w:sz w:val="22"/>
          <w:szCs w:val="22"/>
        </w:rPr>
        <w:t>Turiano</w:t>
      </w:r>
      <w:r w:rsidR="60CA74A6" w:rsidRPr="00CA3F60">
        <w:rPr>
          <w:rFonts w:ascii="Times New Roman" w:eastAsia="Calibri" w:hAnsi="Times New Roman" w:cs="Times New Roman"/>
          <w:sz w:val="22"/>
          <w:szCs w:val="22"/>
        </w:rPr>
        <w:t xml:space="preserve"> et al., (2020)</w:t>
      </w:r>
      <w:r w:rsidRPr="00CA3F60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00AA7C14">
        <w:rPr>
          <w:rFonts w:ascii="Times New Roman" w:eastAsia="Calibri" w:hAnsi="Times New Roman" w:cs="Times New Roman"/>
          <w:sz w:val="22"/>
          <w:szCs w:val="22"/>
        </w:rPr>
        <w:t xml:space="preserve">had cohorts which were excluded </w:t>
      </w:r>
      <w:r w:rsidR="00766A94">
        <w:rPr>
          <w:rFonts w:ascii="Times New Roman" w:eastAsia="Calibri" w:hAnsi="Times New Roman" w:cs="Times New Roman"/>
          <w:sz w:val="22"/>
          <w:szCs w:val="22"/>
        </w:rPr>
        <w:t xml:space="preserve">from the meta-analysis due to overlap </w:t>
      </w:r>
      <w:r w:rsidRPr="618C2F53">
        <w:rPr>
          <w:rFonts w:ascii="Calibri" w:eastAsia="Calibri" w:hAnsi="Calibri" w:cs="Calibri"/>
          <w:sz w:val="22"/>
          <w:szCs w:val="22"/>
        </w:rPr>
        <w:t>with other studies</w:t>
      </w:r>
      <w:r w:rsidR="00766A94">
        <w:rPr>
          <w:rFonts w:ascii="Calibri" w:eastAsia="Calibri" w:hAnsi="Calibri" w:cs="Calibri"/>
          <w:sz w:val="22"/>
          <w:szCs w:val="22"/>
        </w:rPr>
        <w:t>.</w:t>
      </w:r>
    </w:p>
    <w:p w14:paraId="1B686235" w14:textId="77777777" w:rsidR="00E74678" w:rsidRPr="00E74678" w:rsidRDefault="00E74678" w:rsidP="00E74678">
      <w:pPr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sectPr w:rsidR="00E74678" w:rsidRPr="00E74678" w:rsidSect="00FC0CE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looPoMcvr4XpTn" int2:id="XBBYezEO">
      <int2:state int2:value="Rejected" int2:type="AugLoop_Text_Critique"/>
    </int2:textHash>
    <int2:textHash int2:hashCode="WPCvOBX1nyfze2" int2:id="XkStDbNA">
      <int2:state int2:value="Rejected" int2:type="AugLoop_Text_Critique"/>
    </int2:textHash>
    <int2:bookmark int2:bookmarkName="_Int_41Nj3MRT" int2:invalidationBookmarkName="" int2:hashCode="9LJrcl82/Sijqz" int2:id="3u1Pbksm">
      <int2:state int2:value="Rejected" int2:type="AugLoop_Text_Critique"/>
    </int2:bookmark>
    <int2:bookmark int2:bookmarkName="_Int_585qpUmz" int2:invalidationBookmarkName="" int2:hashCode="d+6B1jVyVFJk9d" int2:id="9UUWJmCF">
      <int2:state int2:value="Rejected" int2:type="AugLoop_Acronyms_AcronymsCritique"/>
    </int2:bookmark>
    <int2:bookmark int2:bookmarkName="_Int_37pIDqvQ" int2:invalidationBookmarkName="" int2:hashCode="dVC2cuFiwiTDCb" int2:id="V8TIR2h8">
      <int2:state int2:value="Rejected" int2:type="AugLoop_Text_Critique"/>
    </int2:bookmark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APA 7th&lt;/Style&gt;&lt;LeftDelim&gt;{&lt;/LeftDelim&gt;&lt;RightDelim&gt;}&lt;/RightDelim&gt;&lt;FontName&gt;Aptos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pd5xs2rlpfz2oewfv4x2av2f0s50000vsts&quot;&gt;My EndNote Library&lt;record-ids&gt;&lt;item&gt;3&lt;/item&gt;&lt;item&gt;66&lt;/item&gt;&lt;item&gt;100&lt;/item&gt;&lt;item&gt;121&lt;/item&gt;&lt;item&gt;159&lt;/item&gt;&lt;item&gt;167&lt;/item&gt;&lt;item&gt;224&lt;/item&gt;&lt;item&gt;239&lt;/item&gt;&lt;item&gt;244&lt;/item&gt;&lt;item&gt;1421&lt;/item&gt;&lt;item&gt;1422&lt;/item&gt;&lt;item&gt;1423&lt;/item&gt;&lt;item&gt;2356&lt;/item&gt;&lt;item&gt;2371&lt;/item&gt;&lt;item&gt;2385&lt;/item&gt;&lt;item&gt;6786&lt;/item&gt;&lt;item&gt;7045&lt;/item&gt;&lt;item&gt;7084&lt;/item&gt;&lt;item&gt;13221&lt;/item&gt;&lt;item&gt;13733&lt;/item&gt;&lt;/record-ids&gt;&lt;/item&gt;&lt;/Libraries&gt;"/>
  </w:docVars>
  <w:rsids>
    <w:rsidRoot w:val="7529AC40"/>
    <w:rsid w:val="000060DA"/>
    <w:rsid w:val="00021BB1"/>
    <w:rsid w:val="00051EB5"/>
    <w:rsid w:val="00070DFC"/>
    <w:rsid w:val="00145944"/>
    <w:rsid w:val="0015742F"/>
    <w:rsid w:val="001750DE"/>
    <w:rsid w:val="001D1F9F"/>
    <w:rsid w:val="001D5196"/>
    <w:rsid w:val="001E2455"/>
    <w:rsid w:val="001F5C45"/>
    <w:rsid w:val="00216AF8"/>
    <w:rsid w:val="00291E11"/>
    <w:rsid w:val="0029421D"/>
    <w:rsid w:val="002A69E5"/>
    <w:rsid w:val="00327A28"/>
    <w:rsid w:val="00355F1E"/>
    <w:rsid w:val="00370215"/>
    <w:rsid w:val="00440F1E"/>
    <w:rsid w:val="00493A99"/>
    <w:rsid w:val="004C4744"/>
    <w:rsid w:val="004F7D0F"/>
    <w:rsid w:val="005135DA"/>
    <w:rsid w:val="00584523"/>
    <w:rsid w:val="0070110D"/>
    <w:rsid w:val="00720639"/>
    <w:rsid w:val="00745287"/>
    <w:rsid w:val="00766A94"/>
    <w:rsid w:val="00774106"/>
    <w:rsid w:val="00877990"/>
    <w:rsid w:val="008B25AC"/>
    <w:rsid w:val="008E0D67"/>
    <w:rsid w:val="008E4135"/>
    <w:rsid w:val="00902E78"/>
    <w:rsid w:val="00906F33"/>
    <w:rsid w:val="009341FF"/>
    <w:rsid w:val="009743E1"/>
    <w:rsid w:val="00976CA3"/>
    <w:rsid w:val="0098590C"/>
    <w:rsid w:val="00991730"/>
    <w:rsid w:val="00993579"/>
    <w:rsid w:val="00A114F8"/>
    <w:rsid w:val="00A24143"/>
    <w:rsid w:val="00A55FAE"/>
    <w:rsid w:val="00A82C74"/>
    <w:rsid w:val="00AA7C14"/>
    <w:rsid w:val="00AC770C"/>
    <w:rsid w:val="00AE03C6"/>
    <w:rsid w:val="00AF1DF3"/>
    <w:rsid w:val="00B17B5D"/>
    <w:rsid w:val="00BF073D"/>
    <w:rsid w:val="00C25B77"/>
    <w:rsid w:val="00CA3F60"/>
    <w:rsid w:val="00D17FAC"/>
    <w:rsid w:val="00D424C5"/>
    <w:rsid w:val="00DB10CA"/>
    <w:rsid w:val="00E74678"/>
    <w:rsid w:val="00F1252D"/>
    <w:rsid w:val="00F145D5"/>
    <w:rsid w:val="00F15B4F"/>
    <w:rsid w:val="00F570AD"/>
    <w:rsid w:val="00F81DE1"/>
    <w:rsid w:val="00FA51CD"/>
    <w:rsid w:val="00FC0CE9"/>
    <w:rsid w:val="05978FF5"/>
    <w:rsid w:val="0707E650"/>
    <w:rsid w:val="0CB69BF2"/>
    <w:rsid w:val="1A346A7F"/>
    <w:rsid w:val="1AB1B8AA"/>
    <w:rsid w:val="24CD1D33"/>
    <w:rsid w:val="2AC596B2"/>
    <w:rsid w:val="2C3AACEC"/>
    <w:rsid w:val="2CBB8361"/>
    <w:rsid w:val="33B3C3BA"/>
    <w:rsid w:val="3A265337"/>
    <w:rsid w:val="3AA686ED"/>
    <w:rsid w:val="448B83E1"/>
    <w:rsid w:val="4BAB3075"/>
    <w:rsid w:val="4BE7A65B"/>
    <w:rsid w:val="50FACFE9"/>
    <w:rsid w:val="510393AB"/>
    <w:rsid w:val="55F0C76C"/>
    <w:rsid w:val="5818AE2D"/>
    <w:rsid w:val="609165C1"/>
    <w:rsid w:val="60CA74A6"/>
    <w:rsid w:val="618C2F53"/>
    <w:rsid w:val="6AB9F2C2"/>
    <w:rsid w:val="70377332"/>
    <w:rsid w:val="7529AC40"/>
    <w:rsid w:val="76BB6693"/>
    <w:rsid w:val="7810DC34"/>
    <w:rsid w:val="78910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9AC40"/>
  <w15:chartTrackingRefBased/>
  <w15:docId w15:val="{F6E45FAE-1E99-4795-BCAB-6763C0E15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EndNoteBibliographyTitle">
    <w:name w:val="EndNote Bibliography Title"/>
    <w:basedOn w:val="Normal"/>
    <w:link w:val="EndNoteBibliographyTitleChar"/>
    <w:rsid w:val="00991730"/>
    <w:pPr>
      <w:spacing w:after="0"/>
      <w:jc w:val="center"/>
    </w:pPr>
    <w:rPr>
      <w:rFonts w:ascii="Aptos" w:hAnsi="Aptos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991730"/>
    <w:rPr>
      <w:rFonts w:ascii="Aptos" w:hAnsi="Aptos"/>
      <w:noProof/>
    </w:rPr>
  </w:style>
  <w:style w:type="paragraph" w:customStyle="1" w:styleId="EndNoteBibliography">
    <w:name w:val="EndNote Bibliography"/>
    <w:basedOn w:val="Normal"/>
    <w:link w:val="EndNoteBibliographyChar"/>
    <w:rsid w:val="00991730"/>
    <w:pPr>
      <w:spacing w:line="240" w:lineRule="auto"/>
    </w:pPr>
    <w:rPr>
      <w:rFonts w:ascii="Aptos" w:hAnsi="Aptos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991730"/>
    <w:rPr>
      <w:rFonts w:ascii="Aptos" w:hAnsi="Aptos"/>
      <w:noProof/>
    </w:rPr>
  </w:style>
  <w:style w:type="character" w:styleId="PlaceholderText">
    <w:name w:val="Placeholder Text"/>
    <w:basedOn w:val="DefaultParagraphFont"/>
    <w:uiPriority w:val="99"/>
    <w:semiHidden/>
    <w:rsid w:val="00991730"/>
    <w:rPr>
      <w:color w:val="666666"/>
    </w:rPr>
  </w:style>
  <w:style w:type="character" w:styleId="Hyperlink">
    <w:name w:val="Hyperlink"/>
    <w:basedOn w:val="DefaultParagraphFont"/>
    <w:uiPriority w:val="99"/>
    <w:unhideWhenUsed/>
    <w:rsid w:val="0099173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17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20/10/relationships/intelligence" Target="intelligence2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749</Words>
  <Characters>4270</Characters>
  <Application>Microsoft Office Word</Application>
  <DocSecurity>0</DocSecurity>
  <Lines>35</Lines>
  <Paragraphs>10</Paragraphs>
  <ScaleCrop>false</ScaleCrop>
  <Company/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Maire.Mcgeehan</dc:creator>
  <cp:keywords/>
  <dc:description/>
  <cp:lastModifiedBy>Maire.Mcgeehan</cp:lastModifiedBy>
  <cp:revision>59</cp:revision>
  <dcterms:created xsi:type="dcterms:W3CDTF">2024-06-06T10:06:00Z</dcterms:created>
  <dcterms:modified xsi:type="dcterms:W3CDTF">2025-07-16T11:54:00Z</dcterms:modified>
</cp:coreProperties>
</file>